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4E3D03BA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</w:t>
                            </w:r>
                            <w:r w:rsidR="006B6DC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GRAMA DE MEJORA REGULATORIA 2022</w:t>
                            </w:r>
                          </w:p>
                          <w:p w14:paraId="5CDE21C7" w14:textId="44FE26D0" w:rsidR="00B941B8" w:rsidRPr="00B941B8" w:rsidRDefault="00355600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SEGUNDO</w:t>
                            </w:r>
                            <w:r w:rsidR="00B941B8"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 xml:space="preserve">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A5F80D5" w14:textId="4E3D03BA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</w:t>
                      </w:r>
                      <w:r w:rsidR="006B6DC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GRAMA DE MEJORA REGULATORIA 2022</w:t>
                      </w:r>
                    </w:p>
                    <w:p w14:paraId="5CDE21C7" w14:textId="44FE26D0" w:rsidR="00B941B8" w:rsidRPr="00B941B8" w:rsidRDefault="00355600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SEGUNDO</w:t>
                      </w:r>
                      <w:r w:rsidR="00B941B8"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 xml:space="preserve">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2D1C70D8" w:rsid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De acuerdo al contenido del Pro</w:t>
      </w:r>
      <w:r w:rsidR="00825146">
        <w:rPr>
          <w:rFonts w:ascii="Verdana" w:eastAsia="Calibri" w:hAnsi="Verdana" w:cs="Arial"/>
          <w:sz w:val="22"/>
          <w:szCs w:val="22"/>
        </w:rPr>
        <w:t xml:space="preserve">grama de </w:t>
      </w:r>
      <w:r w:rsidR="006B6DC8">
        <w:rPr>
          <w:rFonts w:ascii="Verdana" w:eastAsia="Calibri" w:hAnsi="Verdana" w:cs="Arial"/>
          <w:sz w:val="22"/>
          <w:szCs w:val="22"/>
        </w:rPr>
        <w:t>Mejora Regulatoria 2022</w:t>
      </w:r>
      <w:r w:rsidRPr="00B941B8">
        <w:rPr>
          <w:rFonts w:ascii="Verdana" w:eastAsia="Calibri" w:hAnsi="Verdana" w:cs="Arial"/>
          <w:sz w:val="22"/>
          <w:szCs w:val="22"/>
        </w:rPr>
        <w:t xml:space="preserve"> en las fracciones I, II, III y IV </w:t>
      </w:r>
    </w:p>
    <w:p w14:paraId="5F0F9E3F" w14:textId="7536B6CB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E950E4B" w14:textId="040AD33C" w:rsidR="00C07E09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07520C5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C07E09" w:rsidRPr="00B941B8" w14:paraId="17BF5369" w14:textId="77777777" w:rsidTr="002E234B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1B04F2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13DA6EEE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DDE646C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C07E09" w:rsidRPr="00B941B8" w14:paraId="3ED57AD1" w14:textId="77777777" w:rsidTr="002E234B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21EFA442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017D4BE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4F0F76C4" w14:textId="7AB1D77E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7E33B1F" w14:textId="52F5E70C" w:rsidR="00C07E09" w:rsidRPr="00B941B8" w:rsidRDefault="00C07E09" w:rsidP="00C07E09">
      <w:pPr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</w:t>
      </w:r>
      <w:r w:rsidRPr="00B941B8">
        <w:rPr>
          <w:rFonts w:ascii="Verdana" w:eastAsia="Calibri" w:hAnsi="Verdana" w:cs="Arial"/>
          <w:b/>
          <w:sz w:val="22"/>
          <w:szCs w:val="22"/>
        </w:rPr>
        <w:t xml:space="preserve">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735FEFF9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B4CC7F7" w14:textId="495D5F4D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6E6C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B96E6C"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</w:p>
    <w:p w14:paraId="078C79E2" w14:textId="332C81DC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3BFCCF65" w14:textId="2A7B14A4" w:rsidR="00C1252E" w:rsidRDefault="00C07E09" w:rsidP="00C07E09">
      <w:pPr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que serán mejorados dentro de los seis meses posteriores a la entrada en vigor de cada Programa.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7E5B7E" w:rsidRPr="001E53D1">
        <w:rPr>
          <w:rFonts w:ascii="Verdana" w:hAnsi="Verdana" w:cs="Arial"/>
          <w:sz w:val="22"/>
          <w:szCs w:val="22"/>
        </w:rPr>
        <w:t>(</w:t>
      </w:r>
      <w:r w:rsidR="007E5B7E" w:rsidRPr="007F28D8">
        <w:rPr>
          <w:rFonts w:ascii="Verdana" w:hAnsi="Verdana" w:cs="Arial"/>
          <w:sz w:val="22"/>
          <w:szCs w:val="22"/>
        </w:rPr>
        <w:t xml:space="preserve">Se sugiere revisar </w:t>
      </w:r>
      <w:r w:rsidR="007E5B7E">
        <w:rPr>
          <w:rFonts w:ascii="Verdana" w:hAnsi="Verdana" w:cs="Arial"/>
          <w:sz w:val="22"/>
          <w:szCs w:val="22"/>
        </w:rPr>
        <w:t xml:space="preserve">la Disposición Quinta de los </w:t>
      </w:r>
      <w:r w:rsidR="007E5B7E" w:rsidRPr="003C5127">
        <w:rPr>
          <w:rFonts w:ascii="Verdana" w:hAnsi="Verdana" w:cs="Arial"/>
          <w:sz w:val="22"/>
          <w:szCs w:val="22"/>
        </w:rPr>
        <w:t>“LINEAMIENTOS PARA</w:t>
      </w:r>
      <w:r w:rsidR="007E5B7E">
        <w:rPr>
          <w:rFonts w:ascii="Verdana" w:hAnsi="Verdana" w:cs="Arial"/>
          <w:sz w:val="22"/>
          <w:szCs w:val="22"/>
        </w:rPr>
        <w:t xml:space="preserve"> ELABORAR EL PROGRAMA DE MEJORA </w:t>
      </w:r>
      <w:r w:rsidR="007E5B7E" w:rsidRPr="003C5127">
        <w:rPr>
          <w:rFonts w:ascii="Verdana" w:hAnsi="Verdana" w:cs="Arial"/>
          <w:sz w:val="22"/>
          <w:szCs w:val="22"/>
        </w:rPr>
        <w:t>REGULATORIA</w:t>
      </w:r>
      <w:r w:rsidR="007E5B7E" w:rsidRPr="007F28D8">
        <w:rPr>
          <w:rFonts w:ascii="Verdana" w:hAnsi="Verdana" w:cs="Arial"/>
          <w:sz w:val="22"/>
          <w:szCs w:val="22"/>
        </w:rPr>
        <w:t xml:space="preserve"> </w:t>
      </w:r>
      <w:r w:rsidR="007E5B7E">
        <w:rPr>
          <w:rFonts w:ascii="Verdana" w:hAnsi="Verdana" w:cs="Arial"/>
          <w:sz w:val="22"/>
          <w:szCs w:val="22"/>
        </w:rPr>
        <w:t>202</w:t>
      </w:r>
      <w:r w:rsidR="006B6DC8">
        <w:rPr>
          <w:rFonts w:ascii="Verdana" w:hAnsi="Verdana" w:cs="Arial"/>
          <w:sz w:val="22"/>
          <w:szCs w:val="22"/>
        </w:rPr>
        <w:t>2</w:t>
      </w:r>
      <w:bookmarkStart w:id="0" w:name="_GoBack"/>
      <w:bookmarkEnd w:id="0"/>
      <w:r w:rsidR="007E5B7E">
        <w:rPr>
          <w:rFonts w:ascii="Verdana" w:hAnsi="Verdana" w:cs="Arial"/>
          <w:sz w:val="22"/>
          <w:szCs w:val="22"/>
        </w:rPr>
        <w:t xml:space="preserve"> </w:t>
      </w:r>
      <w:r w:rsidR="007E5B7E" w:rsidRPr="007F28D8">
        <w:rPr>
          <w:rFonts w:ascii="Verdana" w:hAnsi="Verdana" w:cs="Arial"/>
          <w:sz w:val="22"/>
          <w:szCs w:val="22"/>
        </w:rPr>
        <w:t>en relación a las acciones de simplificación de trámites y servicios)</w:t>
      </w:r>
      <w:r w:rsidR="007E5B7E">
        <w:rPr>
          <w:rFonts w:ascii="Verdana" w:hAnsi="Verdana" w:cs="Arial"/>
          <w:sz w:val="22"/>
          <w:szCs w:val="22"/>
        </w:rPr>
        <w:t>.</w:t>
      </w:r>
    </w:p>
    <w:p w14:paraId="4A4A6E7C" w14:textId="247D63D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796BEBF2" w14:textId="3C478FA3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05E2946" w14:textId="576219BA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981D05B" w14:textId="34232074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2A0E379" w14:textId="314370ED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034FF105" w14:textId="2CDDF3C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59DE0484" w14:textId="35602A06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538FB80" w14:textId="361536BE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6E1D74F" w14:textId="7777777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B63BFB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C07E09" w:rsidRPr="00B941B8" w14:paraId="4F435564" w14:textId="77777777" w:rsidTr="002E234B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CBEB94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2BD6C4EB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694D22F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C07E09" w:rsidRPr="00B941B8" w14:paraId="1ADF3FE8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652FBA3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30898F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2BE2122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6BA4E50E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01A363A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433A6C1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7C91422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2AF62817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2FF43E27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8011F95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6E25608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406CC19D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74C73E9" w14:textId="77777777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4D7E9596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8BD2FD3" w14:textId="3CBC3AD3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14:paraId="7CE06BDE" w14:textId="7632F94F" w:rsidR="00B941B8" w:rsidRPr="00B941B8" w:rsidRDefault="00C07E09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IV</w:t>
      </w:r>
      <w:r w:rsidR="00B941B8" w:rsidRPr="00B941B8">
        <w:rPr>
          <w:rFonts w:ascii="Verdana" w:eastAsia="Calibri" w:hAnsi="Verdana" w:cs="Arial"/>
          <w:b/>
          <w:sz w:val="22"/>
          <w:szCs w:val="22"/>
        </w:rPr>
        <w:t>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532232FE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129F32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716301C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7E490A6F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620B1F0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325B787E" w14:textId="0C3CF946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1A33ADDA" w14:textId="77777777" w:rsidR="00506493" w:rsidRDefault="00506493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E25C6AE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49408CB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36FB3771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09427944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9CDB3D8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EEFAD99" w14:textId="77777777" w:rsidR="007E5B7E" w:rsidRDefault="007E5B7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42557A2F" w14:textId="4526DCC1" w:rsidR="00B941B8" w:rsidRPr="00506493" w:rsidRDefault="00B941B8" w:rsidP="008039AD">
      <w:pPr>
        <w:ind w:right="-1"/>
        <w:jc w:val="both"/>
        <w:rPr>
          <w:rFonts w:ascii="Verdana" w:hAnsi="Verdana" w:cs="Arial"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506493" w:rsidSect="0076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28A9" w14:textId="77777777" w:rsidR="004077E2" w:rsidRDefault="004077E2" w:rsidP="00761527">
      <w:r>
        <w:separator/>
      </w:r>
    </w:p>
  </w:endnote>
  <w:endnote w:type="continuationSeparator" w:id="0">
    <w:p w14:paraId="42F90389" w14:textId="77777777" w:rsidR="004077E2" w:rsidRDefault="004077E2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DE6C7" w14:textId="77777777" w:rsidR="004077E2" w:rsidRDefault="004077E2" w:rsidP="00761527">
      <w:r>
        <w:separator/>
      </w:r>
    </w:p>
  </w:footnote>
  <w:footnote w:type="continuationSeparator" w:id="0">
    <w:p w14:paraId="035DD6C8" w14:textId="77777777" w:rsidR="004077E2" w:rsidRDefault="004077E2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25E5" w14:textId="157F5F61" w:rsidR="00761527" w:rsidRDefault="004077E2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9"/>
    <w:rsid w:val="00036B74"/>
    <w:rsid w:val="000A3D3C"/>
    <w:rsid w:val="000A57E1"/>
    <w:rsid w:val="00106067"/>
    <w:rsid w:val="00131131"/>
    <w:rsid w:val="00197769"/>
    <w:rsid w:val="001E53D1"/>
    <w:rsid w:val="002468DE"/>
    <w:rsid w:val="00262C47"/>
    <w:rsid w:val="002D7CA4"/>
    <w:rsid w:val="002F3B7D"/>
    <w:rsid w:val="00355600"/>
    <w:rsid w:val="003E1AAB"/>
    <w:rsid w:val="004077E2"/>
    <w:rsid w:val="00445AAD"/>
    <w:rsid w:val="005058B9"/>
    <w:rsid w:val="00506493"/>
    <w:rsid w:val="005F229C"/>
    <w:rsid w:val="0067142E"/>
    <w:rsid w:val="006B6DC8"/>
    <w:rsid w:val="00761527"/>
    <w:rsid w:val="0079176E"/>
    <w:rsid w:val="007E5758"/>
    <w:rsid w:val="007E5B7E"/>
    <w:rsid w:val="007F228C"/>
    <w:rsid w:val="008039AD"/>
    <w:rsid w:val="008065E9"/>
    <w:rsid w:val="00825146"/>
    <w:rsid w:val="00935210"/>
    <w:rsid w:val="009B075E"/>
    <w:rsid w:val="00A50010"/>
    <w:rsid w:val="00A7329A"/>
    <w:rsid w:val="00AC4F5E"/>
    <w:rsid w:val="00AC6100"/>
    <w:rsid w:val="00AE73AE"/>
    <w:rsid w:val="00B62765"/>
    <w:rsid w:val="00B941B8"/>
    <w:rsid w:val="00B96E6C"/>
    <w:rsid w:val="00BB6489"/>
    <w:rsid w:val="00BF3E34"/>
    <w:rsid w:val="00BF7C6D"/>
    <w:rsid w:val="00C07E09"/>
    <w:rsid w:val="00C1252E"/>
    <w:rsid w:val="00C57699"/>
    <w:rsid w:val="00D00591"/>
    <w:rsid w:val="00E44B28"/>
    <w:rsid w:val="00E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  <w15:docId w15:val="{3909152D-2D39-4EC0-A490-8AFCE21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User</cp:lastModifiedBy>
  <cp:revision>2</cp:revision>
  <dcterms:created xsi:type="dcterms:W3CDTF">2022-02-17T18:09:00Z</dcterms:created>
  <dcterms:modified xsi:type="dcterms:W3CDTF">2022-02-17T18:09:00Z</dcterms:modified>
</cp:coreProperties>
</file>